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r>
        <w:rPr>
          <w:rFonts w:hint="eastAsia"/>
          <w:b/>
          <w:sz w:val="32"/>
          <w:szCs w:val="32"/>
        </w:rPr>
        <w:t>关于组织全体学生参加“思政大课”学习的通知</w:t>
      </w:r>
    </w:p>
    <w:p>
      <w:pPr>
        <w:spacing w:line="360" w:lineRule="auto"/>
        <w:rPr>
          <w:sz w:val="28"/>
          <w:szCs w:val="28"/>
        </w:rPr>
      </w:pPr>
    </w:p>
    <w:p>
      <w:pPr>
        <w:spacing w:line="360" w:lineRule="auto"/>
        <w:rPr>
          <w:sz w:val="28"/>
          <w:szCs w:val="28"/>
        </w:rPr>
      </w:pPr>
      <w:r>
        <w:rPr>
          <w:rFonts w:hint="eastAsia"/>
          <w:sz w:val="28"/>
          <w:szCs w:val="28"/>
        </w:rPr>
        <w:t>各学院（部）：</w:t>
      </w:r>
    </w:p>
    <w:p>
      <w:pPr>
        <w:spacing w:line="360" w:lineRule="auto"/>
        <w:ind w:firstLine="700" w:firstLineChars="250"/>
        <w:jc w:val="left"/>
        <w:rPr>
          <w:sz w:val="28"/>
          <w:szCs w:val="28"/>
        </w:rPr>
      </w:pPr>
      <w:r>
        <w:rPr>
          <w:rFonts w:hint="eastAsia"/>
          <w:sz w:val="28"/>
          <w:szCs w:val="28"/>
        </w:rPr>
        <w:t>教育部社科司于3月6日下发了关于组织“全国大学生同上一堂疫情防控思政大课”的通知（见附件一），通知要求所有高等学校应组织全体学生（含全日制本科生和全日制硕士博士研究生，下同）参加“思政大课”学习。3月7日下午潘洵副书记召开会议对学习活动进行了全面动员和部署，按照会议要求现将相关事宜通知如下：</w:t>
      </w:r>
    </w:p>
    <w:p>
      <w:pPr>
        <w:spacing w:line="360" w:lineRule="auto"/>
        <w:ind w:firstLine="700" w:firstLineChars="250"/>
        <w:jc w:val="left"/>
        <w:rPr>
          <w:sz w:val="28"/>
          <w:szCs w:val="28"/>
        </w:rPr>
      </w:pPr>
      <w:r>
        <w:rPr>
          <w:rFonts w:hint="eastAsia"/>
          <w:sz w:val="28"/>
          <w:szCs w:val="28"/>
        </w:rPr>
        <w:t>1.各学院（部）要充分认识组织本次“思政大课”的重要性，认真学习领会通知精神，按照要求组织学生参与学习活动。请各学院党政主要负责人安排专人落实本次学习活动。</w:t>
      </w:r>
    </w:p>
    <w:p>
      <w:pPr>
        <w:spacing w:line="360" w:lineRule="auto"/>
        <w:ind w:firstLine="700" w:firstLineChars="250"/>
        <w:jc w:val="left"/>
        <w:rPr>
          <w:sz w:val="28"/>
          <w:szCs w:val="28"/>
        </w:rPr>
      </w:pPr>
      <w:r>
        <w:rPr>
          <w:rFonts w:hint="eastAsia"/>
          <w:sz w:val="28"/>
          <w:szCs w:val="28"/>
        </w:rPr>
        <w:t>2.凡周一下午无课的学生必须参加此次课程直播；凡周一下午有思政课的教学班，由马克思主义学院统筹安排任课教师组织学生参与课程直播和在线讨论；因课程冲突无法参加在线直播学习的，各学院最迟于3月10日18:00前应组织学生回看教学视频，认真学习。</w:t>
      </w:r>
    </w:p>
    <w:p>
      <w:pPr>
        <w:spacing w:line="360" w:lineRule="auto"/>
        <w:ind w:firstLine="700" w:firstLineChars="250"/>
        <w:rPr>
          <w:sz w:val="28"/>
          <w:szCs w:val="28"/>
        </w:rPr>
      </w:pPr>
      <w:r>
        <w:rPr>
          <w:rFonts w:hint="eastAsia"/>
          <w:sz w:val="28"/>
          <w:szCs w:val="28"/>
        </w:rPr>
        <w:t>3</w:t>
      </w:r>
      <w:r>
        <w:rPr>
          <w:sz w:val="28"/>
          <w:szCs w:val="28"/>
        </w:rPr>
        <w:t>.</w:t>
      </w:r>
      <w:r>
        <w:rPr>
          <w:rFonts w:hint="eastAsia"/>
          <w:sz w:val="28"/>
          <w:szCs w:val="28"/>
        </w:rPr>
        <w:t>所有学生在完成课程学习后，应于3月10日2</w:t>
      </w:r>
      <w:r>
        <w:rPr>
          <w:sz w:val="28"/>
          <w:szCs w:val="28"/>
        </w:rPr>
        <w:t>3</w:t>
      </w:r>
      <w:r>
        <w:rPr>
          <w:rFonts w:hint="eastAsia"/>
          <w:sz w:val="28"/>
          <w:szCs w:val="28"/>
        </w:rPr>
        <w:t>：0</w:t>
      </w:r>
      <w:r>
        <w:rPr>
          <w:sz w:val="28"/>
          <w:szCs w:val="28"/>
        </w:rPr>
        <w:t>0时</w:t>
      </w:r>
      <w:r>
        <w:rPr>
          <w:rFonts w:hint="eastAsia"/>
          <w:sz w:val="28"/>
          <w:szCs w:val="28"/>
        </w:rPr>
        <w:t>前提交不少于200字的学习心得体会。</w:t>
      </w:r>
    </w:p>
    <w:p>
      <w:pPr>
        <w:spacing w:line="360" w:lineRule="auto"/>
        <w:ind w:firstLine="700" w:firstLineChars="250"/>
        <w:rPr>
          <w:sz w:val="28"/>
          <w:szCs w:val="28"/>
        </w:rPr>
      </w:pPr>
      <w:r>
        <w:rPr>
          <w:rFonts w:hint="eastAsia"/>
          <w:sz w:val="28"/>
          <w:szCs w:val="28"/>
        </w:rPr>
        <w:t>4.本学期开设有思政课的学生，“学习体会”统一提交思政课任课教师，其中2018级本科生提交给《毛泽东思想和中国特色社会主义理论体系概论》任课教师，2019级本科生提交给目前正在线教学的思政课任课教师，硕士研究生提交给目前正在线教学的思政课任课教师。</w:t>
      </w:r>
    </w:p>
    <w:p>
      <w:pPr>
        <w:spacing w:line="360" w:lineRule="auto"/>
        <w:ind w:firstLine="700" w:firstLineChars="250"/>
        <w:rPr>
          <w:sz w:val="28"/>
          <w:szCs w:val="28"/>
        </w:rPr>
      </w:pPr>
      <w:r>
        <w:rPr>
          <w:sz w:val="28"/>
          <w:szCs w:val="28"/>
        </w:rPr>
        <w:t>5</w:t>
      </w:r>
      <w:r>
        <w:rPr>
          <w:rFonts w:hint="eastAsia"/>
          <w:sz w:val="28"/>
          <w:szCs w:val="28"/>
        </w:rPr>
        <w:t>.本学期无思政课程的学生，学习体会统一提交学生所在学院（部）。各学院（部）对学生学习体会提炼概括形成简明学习报告，报告内容应包括学习活动的组织方式、完成情况、学生学习心得体会的主要内容等（见附件二）。</w:t>
      </w:r>
    </w:p>
    <w:p>
      <w:pPr>
        <w:spacing w:line="360" w:lineRule="auto"/>
        <w:ind w:firstLine="700" w:firstLineChars="250"/>
        <w:rPr>
          <w:sz w:val="28"/>
          <w:szCs w:val="28"/>
        </w:rPr>
      </w:pPr>
      <w:r>
        <w:rPr>
          <w:sz w:val="28"/>
          <w:szCs w:val="28"/>
        </w:rPr>
        <w:t>6.</w:t>
      </w:r>
      <w:r>
        <w:rPr>
          <w:rFonts w:hint="eastAsia"/>
          <w:sz w:val="28"/>
          <w:szCs w:val="28"/>
        </w:rPr>
        <w:t>各学院（部）学生学习以及思想政治课教师组织学生学习的报告于3月1</w:t>
      </w:r>
      <w:r>
        <w:rPr>
          <w:sz w:val="28"/>
          <w:szCs w:val="28"/>
        </w:rPr>
        <w:t>1日</w:t>
      </w:r>
      <w:r>
        <w:rPr>
          <w:rFonts w:hint="eastAsia"/>
          <w:sz w:val="28"/>
          <w:szCs w:val="28"/>
        </w:rPr>
        <w:t>12:00前，发送到教务处胡钦瑞邮箱（邮箱34503675</w:t>
      </w:r>
      <w:r>
        <w:rPr>
          <w:rFonts w:hint="eastAsia"/>
          <w:sz w:val="28"/>
          <w:szCs w:val="28"/>
          <w:lang w:val="en-US" w:eastAsia="zh-CN"/>
        </w:rPr>
        <w:t>3</w:t>
      </w:r>
      <w:r>
        <w:rPr>
          <w:rFonts w:hint="eastAsia"/>
          <w:sz w:val="28"/>
          <w:szCs w:val="28"/>
        </w:rPr>
        <w:t>@qq.com）。</w:t>
      </w:r>
      <w:bookmarkStart w:id="0" w:name="_GoBack"/>
      <w:bookmarkEnd w:id="0"/>
    </w:p>
    <w:p>
      <w:pPr>
        <w:spacing w:line="360" w:lineRule="auto"/>
        <w:jc w:val="left"/>
        <w:rPr>
          <w:sz w:val="28"/>
          <w:szCs w:val="28"/>
        </w:rPr>
      </w:pPr>
    </w:p>
    <w:p>
      <w:pPr>
        <w:spacing w:line="360" w:lineRule="auto"/>
        <w:rPr>
          <w:sz w:val="28"/>
          <w:szCs w:val="28"/>
        </w:rPr>
      </w:pPr>
      <w:r>
        <w:rPr>
          <w:rFonts w:hint="eastAsia"/>
          <w:sz w:val="28"/>
          <w:szCs w:val="28"/>
        </w:rPr>
        <w:t>                                            西南大学教务处</w:t>
      </w:r>
    </w:p>
    <w:p>
      <w:pPr>
        <w:spacing w:line="360" w:lineRule="auto"/>
        <w:rPr>
          <w:sz w:val="28"/>
          <w:szCs w:val="28"/>
        </w:rPr>
      </w:pPr>
      <w:r>
        <w:rPr>
          <w:rFonts w:hint="eastAsia"/>
          <w:sz w:val="28"/>
          <w:szCs w:val="28"/>
        </w:rPr>
        <w:t xml:space="preserve">                                           西南大学研究生院</w:t>
      </w:r>
    </w:p>
    <w:p>
      <w:pPr>
        <w:spacing w:line="360" w:lineRule="auto"/>
        <w:rPr>
          <w:sz w:val="28"/>
          <w:szCs w:val="28"/>
        </w:rPr>
      </w:pPr>
      <w:r>
        <w:rPr>
          <w:rFonts w:hint="eastAsia"/>
          <w:sz w:val="28"/>
          <w:szCs w:val="28"/>
        </w:rPr>
        <w:t xml:space="preserve">                                            2020年3月7日</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580" w:lineRule="exact"/>
        <w:jc w:val="left"/>
        <w:rPr>
          <w:sz w:val="28"/>
          <w:szCs w:val="28"/>
        </w:rPr>
      </w:pPr>
      <w:r>
        <w:rPr>
          <w:rFonts w:hint="eastAsia"/>
          <w:sz w:val="28"/>
          <w:szCs w:val="28"/>
        </w:rPr>
        <w:t>附件一：教育部社科司通知</w:t>
      </w:r>
    </w:p>
    <w:p>
      <w:pPr>
        <w:spacing w:line="580" w:lineRule="exact"/>
        <w:jc w:val="left"/>
        <w:rPr>
          <w:sz w:val="28"/>
          <w:szCs w:val="28"/>
        </w:rPr>
      </w:pPr>
    </w:p>
    <w:p>
      <w:pPr>
        <w:spacing w:line="580" w:lineRule="exact"/>
        <w:jc w:val="center"/>
        <w:rPr>
          <w:rFonts w:ascii="方正小标宋简体" w:eastAsia="方正小标宋简体"/>
          <w:b/>
          <w:sz w:val="36"/>
          <w:szCs w:val="36"/>
        </w:rPr>
      </w:pPr>
      <w:r>
        <w:rPr>
          <w:rFonts w:hint="eastAsia" w:ascii="方正小标宋简体" w:eastAsia="方正小标宋简体"/>
          <w:b/>
          <w:sz w:val="36"/>
          <w:szCs w:val="36"/>
        </w:rPr>
        <w:t>教育部社科司关于组织“全国大学生同上一堂疫情防控思政大课”的通知</w:t>
      </w:r>
    </w:p>
    <w:p>
      <w:pPr>
        <w:spacing w:line="300" w:lineRule="exact"/>
        <w:jc w:val="center"/>
        <w:rPr>
          <w:rFonts w:ascii="方正小标宋简体" w:eastAsia="方正小标宋简体"/>
          <w:b/>
          <w:sz w:val="36"/>
          <w:szCs w:val="36"/>
        </w:rPr>
      </w:pPr>
    </w:p>
    <w:p>
      <w:pPr>
        <w:spacing w:line="600" w:lineRule="exact"/>
        <w:rPr>
          <w:rFonts w:ascii="仿宋_GB2312" w:eastAsia="仿宋_GB2312"/>
          <w:sz w:val="32"/>
          <w:szCs w:val="32"/>
        </w:rPr>
      </w:pPr>
      <w:r>
        <w:rPr>
          <w:rFonts w:hint="eastAsia" w:ascii="仿宋_GB2312" w:eastAsia="仿宋_GB2312"/>
          <w:sz w:val="32"/>
          <w:szCs w:val="32"/>
        </w:rPr>
        <w:t>各省、自治区、直辖市党委教育工作部门、教育厅（教委），新疆生产建设兵团教育局，部属各高等学校、部省合建各高等学校：</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在举国上下万众一心、众志成城做好新冠肺炎</w:t>
      </w:r>
      <w:r>
        <w:rPr>
          <w:rFonts w:hint="eastAsia" w:ascii="仿宋_GB2312" w:hAnsi="仿宋_GB2312" w:eastAsia="仿宋_GB2312" w:cs="仿宋_GB2312"/>
          <w:sz w:val="32"/>
          <w:szCs w:val="32"/>
        </w:rPr>
        <w:t>疫情</w:t>
      </w:r>
      <w:r>
        <w:rPr>
          <w:rFonts w:hint="eastAsia" w:ascii="仿宋_GB2312" w:eastAsia="仿宋_GB2312"/>
          <w:sz w:val="32"/>
          <w:szCs w:val="32"/>
        </w:rPr>
        <w:t>防控工作的特殊时刻，为将高校思想政治理论课教学优势转化为支持防疫斗争的强大力量，引导广大学生增强“四个意识”、坚定“四个自信”、做到“两个维护”，</w:t>
      </w:r>
      <w:r>
        <w:rPr>
          <w:rFonts w:hint="eastAsia" w:ascii="仿宋_GB2312" w:hAnsi="仿宋_GB2312" w:eastAsia="仿宋_GB2312" w:cs="仿宋_GB2312"/>
          <w:sz w:val="32"/>
          <w:szCs w:val="32"/>
        </w:rPr>
        <w:t>坚定在以习近平同志为核心的党中央坚强领导下打赢这场疫情防控人民战争、总体战、阻击战的信心和决心，深刻认识中国抗疫彰显的中国共产党领导和中国特色社会主义制度的显著优势，教育部社科司与人民网决定联合组织“全国大学生同上一堂疫情防控思政大课”。现将有关要求通知如下：</w:t>
      </w:r>
    </w:p>
    <w:p>
      <w:pPr>
        <w:numPr>
          <w:ilvl w:val="0"/>
          <w:numId w:val="1"/>
        </w:numPr>
        <w:spacing w:line="600" w:lineRule="exact"/>
        <w:ind w:firstLine="643" w:firstLineChars="200"/>
        <w:rPr>
          <w:rFonts w:ascii="黑体" w:hAnsi="黑体" w:eastAsia="黑体" w:cs="黑体"/>
          <w:sz w:val="32"/>
          <w:szCs w:val="32"/>
        </w:rPr>
      </w:pPr>
      <w:r>
        <w:rPr>
          <w:rFonts w:hint="eastAsia" w:ascii="黑体" w:hAnsi="黑体" w:eastAsia="黑体" w:cs="黑体"/>
          <w:b/>
          <w:sz w:val="32"/>
          <w:szCs w:val="32"/>
        </w:rPr>
        <w:t>课程内容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马克思主义基本原理概论”“毛泽东思想和中国特色社会主义理论体系概论”“中国近现代史纲要”“思想道德修养与法律基础”四门必修课教学内容，解读党中央关于疫情防控的决策部署，分析中国抗疫彰显的中国共产党领导和中国特色社会主义制度的显著优势，讲述防疫抗疫一线的感人故事，发挥高校思政课落实立德树人根本任务的关键课程作用，引导大学生传承和弘扬爱国主义精神，增强中国特色社会主义道路自信、理论自信、制度自信、文化自信。</w:t>
      </w:r>
    </w:p>
    <w:p>
      <w:pPr>
        <w:numPr>
          <w:ilvl w:val="0"/>
          <w:numId w:val="1"/>
        </w:num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课程安排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1.课程时间：2020年3月9日（星期一），14:30—16:00。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2.主讲专家：清华大学马克思主义学院教授艾四林，中国人民大学马克思主义学院教授秦宣，北京师范大学马克思主义学院教授王炳林，中央财经大学马克思主义学院教授冯秀军。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3.课程形式：网络直播，课后解答。通过人民网人民智云客户端、咪咕视频客户端进行直播（具体直播客户端收看指引见附件）。</w:t>
      </w:r>
    </w:p>
    <w:p>
      <w:pPr>
        <w:spacing w:line="600" w:lineRule="exact"/>
        <w:ind w:firstLine="643" w:firstLineChars="200"/>
        <w:rPr>
          <w:rFonts w:ascii="仿宋_GB2312" w:hAnsi="仿宋_GB2312" w:eastAsia="仿宋_GB2312" w:cs="仿宋_GB2312"/>
          <w:b/>
          <w:bCs/>
          <w:sz w:val="32"/>
          <w:szCs w:val="32"/>
        </w:rPr>
      </w:pPr>
      <w:r>
        <w:rPr>
          <w:rFonts w:hint="eastAsia" w:ascii="黑体" w:hAnsi="黑体" w:eastAsia="黑体" w:cs="黑体"/>
          <w:b/>
          <w:bCs/>
          <w:sz w:val="32"/>
          <w:szCs w:val="32"/>
        </w:rPr>
        <w:t>三、工作要求</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1.各地各高校</w:t>
      </w:r>
      <w:r>
        <w:rPr>
          <w:rFonts w:hint="eastAsia" w:ascii="仿宋_GB2312" w:eastAsia="仿宋_GB2312"/>
          <w:sz w:val="32"/>
          <w:szCs w:val="32"/>
        </w:rPr>
        <w:t>要提高政治站位，充分认识组织本次“思政大课”的重要性，因地因校制宜，加强宣传和组织管理，将本次“思政大课”列入疫情防控期间思政课教学的统一安排，通知属地和本校所有大学生按时上课。因课程冲突没有参加在线直播学习的，要组织学生回看教学视频，认真学习。</w:t>
      </w:r>
    </w:p>
    <w:p>
      <w:pPr>
        <w:spacing w:line="600" w:lineRule="exact"/>
        <w:ind w:firstLine="640" w:firstLineChars="200"/>
        <w:rPr>
          <w:rFonts w:ascii="Times New Roman" w:hAnsi="Times New Roman" w:eastAsia="仿宋_GB2312"/>
          <w:color w:val="000000"/>
          <w:kern w:val="0"/>
          <w:sz w:val="32"/>
          <w:szCs w:val="32"/>
        </w:rPr>
      </w:pPr>
      <w:r>
        <w:rPr>
          <w:rFonts w:hint="eastAsia" w:ascii="仿宋_GB2312" w:hAnsi="仿宋_GB2312" w:eastAsia="仿宋_GB2312" w:cs="仿宋_GB2312"/>
          <w:sz w:val="32"/>
          <w:szCs w:val="32"/>
        </w:rPr>
        <w:t>2.各地各高校要根据思政课教学进度安排，结合本次“思政大课”情况，由本校思政课教师组织一次学生在线讨论，深化对相关内容的认识，引导大学生传承和弘扬爱国主义精神，深刻认识中国共产党领导和中国特色社会主义制度的显著优势，坚定“四个自信”</w:t>
      </w:r>
      <w:r>
        <w:rPr>
          <w:rFonts w:hint="eastAsia" w:ascii="Times New Roman" w:hAnsi="Times New Roman" w:eastAsia="仿宋_GB2312"/>
          <w:color w:val="000000"/>
          <w:kern w:val="0"/>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sz w:val="32"/>
          <w:szCs w:val="32"/>
        </w:rPr>
        <w:t>各省（区、市）党委教育</w:t>
      </w:r>
      <w:r>
        <w:rPr>
          <w:rFonts w:hint="eastAsia" w:ascii="仿宋_GB2312" w:eastAsia="仿宋_GB2312"/>
          <w:sz w:val="32"/>
          <w:szCs w:val="32"/>
        </w:rPr>
        <w:t>工作部门要及时掌握属地各高校大学生上课情况，并将本次“思政大课”组织、</w:t>
      </w:r>
      <w:r>
        <w:rPr>
          <w:rFonts w:hint="eastAsia" w:ascii="Times New Roman" w:hAnsi="Times New Roman" w:eastAsia="仿宋_GB2312"/>
          <w:color w:val="000000"/>
          <w:kern w:val="0"/>
          <w:sz w:val="32"/>
          <w:szCs w:val="32"/>
        </w:rPr>
        <w:t>参加人数、学生反响等有关情况于3月13日17:00前发送教育部社科司电子信箱：</w:t>
      </w:r>
      <w:r>
        <w:fldChar w:fldCharType="begin"/>
      </w:r>
      <w:r>
        <w:instrText xml:space="preserve"> HYPERLINK "mailto:202b203@163.com" </w:instrText>
      </w:r>
      <w:r>
        <w:fldChar w:fldCharType="separate"/>
      </w:r>
      <w:r>
        <w:rPr>
          <w:rFonts w:hint="eastAsia" w:ascii="仿宋_GB2312" w:hAnsi="仿宋_GB2312" w:eastAsia="仿宋_GB2312" w:cs="仿宋_GB2312"/>
          <w:sz w:val="32"/>
          <w:szCs w:val="32"/>
        </w:rPr>
        <w:t>202b203@163.com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Times New Roman" w:hAnsi="Times New Roman" w:eastAsia="仿宋_GB2312"/>
          <w:color w:val="000000"/>
          <w:kern w:val="0"/>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联系人及联系方式：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刘冠峰，010-66097529</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附件：“全国大学生同上一堂疫情防控思政大课”直播客户端收看指引</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教育部社会</w:t>
      </w:r>
      <w:r>
        <w:rPr>
          <w:rFonts w:ascii="仿宋_GB2312" w:eastAsia="仿宋_GB2312"/>
          <w:sz w:val="32"/>
          <w:szCs w:val="32"/>
        </w:rPr>
        <w:t>科学司</w:t>
      </w:r>
    </w:p>
    <w:p>
      <w:pPr>
        <w:spacing w:line="600" w:lineRule="exact"/>
        <w:ind w:firstLine="640" w:firstLineChars="200"/>
        <w:jc w:val="righ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2020年3月6日</w:t>
      </w: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rPr>
          <w:rFonts w:ascii="仿宋_GB2312" w:eastAsia="仿宋_GB2312"/>
          <w:sz w:val="32"/>
          <w:szCs w:val="32"/>
        </w:rPr>
      </w:pPr>
    </w:p>
    <w:p>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“全国大学生同上一堂疫情防控思政大课”直播客户端收看指引</w:t>
      </w:r>
    </w:p>
    <w:p>
      <w:pPr>
        <w:numPr>
          <w:ilvl w:val="0"/>
          <w:numId w:val="2"/>
        </w:numPr>
        <w:spacing w:line="44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人民网收看地址</w:t>
      </w:r>
    </w:p>
    <w:p>
      <w:pPr>
        <w:spacing w:line="520" w:lineRule="exact"/>
        <w:ind w:firstLine="321" w:firstLineChars="1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drawing>
          <wp:anchor distT="0" distB="0" distL="114300" distR="114300" simplePos="0" relativeHeight="251659264" behindDoc="0" locked="0" layoutInCell="1" allowOverlap="1">
            <wp:simplePos x="0" y="0"/>
            <wp:positionH relativeFrom="column">
              <wp:posOffset>3552190</wp:posOffset>
            </wp:positionH>
            <wp:positionV relativeFrom="paragraph">
              <wp:posOffset>272415</wp:posOffset>
            </wp:positionV>
            <wp:extent cx="1655445" cy="1655445"/>
            <wp:effectExtent l="0" t="0" r="1905" b="1905"/>
            <wp:wrapSquare wrapText="bothSides"/>
            <wp:docPr id="2" name="图片 1" descr="9b79a89bb632744b676cfbbe07b9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b79a89bb632744b676cfbbe07b9c08"/>
                    <pic:cNvPicPr>
                      <a:picLocks noChangeAspect="1"/>
                    </pic:cNvPicPr>
                  </pic:nvPicPr>
                  <pic:blipFill>
                    <a:blip r:embed="rId4" cstate="print"/>
                    <a:stretch>
                      <a:fillRect/>
                    </a:stretch>
                  </pic:blipFill>
                  <pic:spPr>
                    <a:xfrm>
                      <a:off x="0" y="0"/>
                      <a:ext cx="1655445" cy="1655445"/>
                    </a:xfrm>
                    <a:prstGeom prst="rect">
                      <a:avLst/>
                    </a:prstGeom>
                    <a:noFill/>
                    <a:ln>
                      <a:noFill/>
                    </a:ln>
                  </pic:spPr>
                </pic:pic>
              </a:graphicData>
            </a:graphic>
          </wp:anchor>
        </w:drawing>
      </w:r>
      <w:r>
        <w:rPr>
          <w:rFonts w:hint="eastAsia" w:ascii="仿宋_GB2312" w:hAnsi="仿宋_GB2312" w:eastAsia="仿宋_GB2312" w:cs="仿宋_GB2312"/>
          <w:b/>
          <w:bCs/>
          <w:sz w:val="32"/>
          <w:szCs w:val="32"/>
        </w:rPr>
        <w:t>电脑收看</w:t>
      </w:r>
      <w:r>
        <w:rPr>
          <w:rFonts w:hint="eastAsia" w:ascii="仿宋_GB2312" w:hAnsi="仿宋_GB2312" w:eastAsia="仿宋_GB2312" w:cs="仿宋_GB2312"/>
          <w:sz w:val="32"/>
          <w:szCs w:val="32"/>
        </w:rPr>
        <w:t>：人民网教育频道网址为</w:t>
      </w:r>
      <w:r>
        <w:fldChar w:fldCharType="begin"/>
      </w:r>
      <w:r>
        <w:instrText xml:space="preserve"> HYPERLINK "http://edu.people.com.cn" </w:instrText>
      </w:r>
      <w:r>
        <w:fldChar w:fldCharType="separate"/>
      </w:r>
      <w:r>
        <w:rPr>
          <w:rFonts w:ascii="仿宋_GB2312" w:hAnsi="仿宋_GB2312" w:eastAsia="仿宋_GB2312" w:cs="仿宋_GB2312"/>
          <w:sz w:val="32"/>
          <w:szCs w:val="32"/>
        </w:rPr>
        <w:t>http://edu.people.com.cn</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520" w:lineRule="exact"/>
        <w:rPr>
          <w:rFonts w:ascii="宋体" w:hAnsi="宋体"/>
          <w:b/>
          <w:bCs/>
          <w:sz w:val="24"/>
          <w:szCs w:val="24"/>
        </w:rPr>
      </w:pPr>
      <w:r>
        <w:rPr>
          <w:rFonts w:hint="eastAsia" w:ascii="方正小标宋简体" w:hAnsi="方正小标宋简体" w:eastAsia="方正小标宋简体" w:cs="方正小标宋简体"/>
          <w:sz w:val="32"/>
          <w:szCs w:val="32"/>
        </w:rPr>
        <w:t xml:space="preserve">  </w:t>
      </w:r>
      <w:r>
        <w:rPr>
          <w:rFonts w:hint="eastAsia" w:ascii="仿宋_GB2312" w:hAnsi="仿宋_GB2312" w:eastAsia="仿宋_GB2312" w:cs="仿宋_GB2312"/>
          <w:b/>
          <w:bCs/>
          <w:sz w:val="32"/>
          <w:szCs w:val="32"/>
        </w:rPr>
        <w:t>手机、平板收看：</w:t>
      </w:r>
      <w:r>
        <w:rPr>
          <w:rFonts w:hint="eastAsia" w:ascii="仿宋_GB2312" w:hAnsi="仿宋_GB2312" w:eastAsia="仿宋_GB2312" w:cs="仿宋_GB2312"/>
          <w:sz w:val="32"/>
          <w:szCs w:val="32"/>
        </w:rPr>
        <w:t>应用商店“人民智云”进行下载，或扫描右方二维码进行下载。人民智云App</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点击开屏进入直播页面</w:t>
      </w:r>
      <w:r>
        <w:rPr>
          <w:rFonts w:ascii="仿宋_GB2312" w:hAnsi="仿宋_GB2312" w:eastAsia="仿宋_GB2312" w:cs="仿宋_GB2312"/>
          <w:sz w:val="32"/>
          <w:szCs w:val="32"/>
        </w:rPr>
        <w:t>，观看直播。也可在</w:t>
      </w:r>
      <w:r>
        <w:rPr>
          <w:rFonts w:hint="eastAsia" w:ascii="仿宋_GB2312" w:hAnsi="仿宋_GB2312" w:eastAsia="仿宋_GB2312" w:cs="仿宋_GB2312"/>
          <w:sz w:val="32"/>
          <w:szCs w:val="32"/>
        </w:rPr>
        <w:t>App首页直播入口</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点击进入直播页面</w:t>
      </w:r>
      <w:r>
        <w:rPr>
          <w:rFonts w:ascii="仿宋_GB2312" w:hAnsi="仿宋_GB2312" w:eastAsia="仿宋_GB2312" w:cs="仿宋_GB2312"/>
          <w:sz w:val="32"/>
          <w:szCs w:val="32"/>
        </w:rPr>
        <w:t>进行观看</w:t>
      </w:r>
      <w:r>
        <w:rPr>
          <w:rFonts w:hint="eastAsia" w:ascii="仿宋_GB2312" w:hAnsi="仿宋_GB2312" w:eastAsia="仿宋_GB2312" w:cs="仿宋_GB2312"/>
          <w:sz w:val="32"/>
          <w:szCs w:val="32"/>
        </w:rPr>
        <w:t>。</w:t>
      </w:r>
      <w:r>
        <w:rPr>
          <w:rFonts w:hint="eastAsia" w:ascii="宋体" w:hAnsi="宋体" w:cs="宋体"/>
          <w:b/>
          <w:bCs/>
          <w:sz w:val="24"/>
          <w:szCs w:val="24"/>
        </w:rPr>
        <w:t>（扫描二维码，下载客户端）</w:t>
      </w:r>
    </w:p>
    <w:p>
      <w:pPr>
        <w:spacing w:line="520" w:lineRule="exact"/>
        <w:rPr>
          <w:rFonts w:ascii="宋体" w:hAnsi="宋体"/>
          <w:sz w:val="24"/>
          <w:szCs w:val="24"/>
        </w:rPr>
      </w:pPr>
      <w:r>
        <w:rPr>
          <w:rFonts w:hint="eastAsia" w:ascii="仿宋_GB2312" w:hAnsi="仿宋_GB2312" w:eastAsia="仿宋_GB2312" w:cs="仿宋_GB2312"/>
          <w:b/>
          <w:bCs/>
          <w:sz w:val="32"/>
          <w:szCs w:val="32"/>
        </w:rPr>
        <w:t>2.其他收看地址</w:t>
      </w:r>
    </w:p>
    <w:p>
      <w:pPr>
        <w:jc w:val="center"/>
        <w:rPr>
          <w:rFonts w:ascii="宋体" w:hAnsi="宋体"/>
          <w:sz w:val="24"/>
          <w:szCs w:val="24"/>
        </w:rPr>
      </w:pPr>
      <w:r>
        <w:rPr>
          <w:rFonts w:hint="eastAsia" w:ascii="宋体" w:hAnsi="宋体" w:cs="宋体"/>
          <w:sz w:val="24"/>
          <w:szCs w:val="24"/>
        </w:rPr>
        <w:t xml:space="preserve">        </w:t>
      </w:r>
      <w:r>
        <w:rPr>
          <w:rFonts w:hint="eastAsia" w:ascii="宋体" w:hAnsi="宋体"/>
          <w:sz w:val="24"/>
          <w:szCs w:val="24"/>
        </w:rPr>
        <w:drawing>
          <wp:inline distT="0" distB="0" distL="114300" distR="114300">
            <wp:extent cx="1782445" cy="1782445"/>
            <wp:effectExtent l="0" t="0" r="8255" b="8255"/>
            <wp:docPr id="7" name="图片 4" descr="d6ae1964e84d66c5adfcbfd85c52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6ae1964e84d66c5adfcbfd85c523cd"/>
                    <pic:cNvPicPr>
                      <a:picLocks noChangeAspect="1"/>
                    </pic:cNvPicPr>
                  </pic:nvPicPr>
                  <pic:blipFill>
                    <a:blip r:embed="rId5" cstate="print"/>
                    <a:stretch>
                      <a:fillRect/>
                    </a:stretch>
                  </pic:blipFill>
                  <pic:spPr>
                    <a:xfrm>
                      <a:off x="0" y="0"/>
                      <a:ext cx="1782445" cy="1782445"/>
                    </a:xfrm>
                    <a:prstGeom prst="rect">
                      <a:avLst/>
                    </a:prstGeom>
                    <a:noFill/>
                    <a:ln>
                      <a:noFill/>
                    </a:ln>
                  </pic:spPr>
                </pic:pic>
              </a:graphicData>
            </a:graphic>
          </wp:inline>
        </w:drawing>
      </w:r>
      <w:r>
        <w:rPr>
          <w:rFonts w:hint="eastAsia" w:ascii="宋体" w:hAnsi="宋体" w:cs="宋体"/>
          <w:sz w:val="24"/>
          <w:szCs w:val="24"/>
        </w:rPr>
        <w:t xml:space="preserve">             </w:t>
      </w:r>
      <w:r>
        <w:rPr>
          <w:rFonts w:hint="eastAsia" w:ascii="宋体" w:hAnsi="宋体"/>
          <w:sz w:val="24"/>
          <w:szCs w:val="24"/>
        </w:rPr>
        <w:drawing>
          <wp:inline distT="0" distB="0" distL="114300" distR="114300">
            <wp:extent cx="1800860" cy="1800860"/>
            <wp:effectExtent l="0" t="0" r="8890" b="8890"/>
            <wp:docPr id="5" name="图片 3" descr="d15f7dbfa353db5664de9e82383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15f7dbfa353db5664de9e823834606"/>
                    <pic:cNvPicPr>
                      <a:picLocks noChangeAspect="1"/>
                    </pic:cNvPicPr>
                  </pic:nvPicPr>
                  <pic:blipFill>
                    <a:blip r:embed="rId6" cstate="print"/>
                    <a:stretch>
                      <a:fillRect/>
                    </a:stretch>
                  </pic:blipFill>
                  <pic:spPr>
                    <a:xfrm>
                      <a:off x="0" y="0"/>
                      <a:ext cx="1800860" cy="1800860"/>
                    </a:xfrm>
                    <a:prstGeom prst="rect">
                      <a:avLst/>
                    </a:prstGeom>
                    <a:noFill/>
                    <a:ln>
                      <a:noFill/>
                    </a:ln>
                  </pic:spPr>
                </pic:pic>
              </a:graphicData>
            </a:graphic>
          </wp:inline>
        </w:drawing>
      </w:r>
      <w:r>
        <w:rPr>
          <w:rFonts w:hint="eastAsia" w:ascii="宋体" w:hAnsi="宋体" w:cs="宋体"/>
          <w:sz w:val="24"/>
          <w:szCs w:val="24"/>
        </w:rPr>
        <w:t xml:space="preserve">             </w:t>
      </w:r>
    </w:p>
    <w:p>
      <w:pPr>
        <w:ind w:firstLine="964" w:firstLineChars="400"/>
        <w:rPr>
          <w:rFonts w:ascii="宋体" w:hAnsi="宋体"/>
          <w:b/>
          <w:bCs/>
          <w:sz w:val="24"/>
          <w:szCs w:val="24"/>
        </w:rPr>
      </w:pPr>
      <w:r>
        <w:rPr>
          <w:rFonts w:hint="eastAsia" w:ascii="宋体" w:hAnsi="宋体" w:cs="宋体"/>
          <w:b/>
          <w:bCs/>
          <w:sz w:val="24"/>
          <w:szCs w:val="24"/>
        </w:rPr>
        <w:t xml:space="preserve">（咪咕视频下载二维码）               （人民视频下载二维码） </w:t>
      </w:r>
    </w:p>
    <w:p>
      <w:pPr>
        <w:ind w:firstLine="964" w:firstLineChars="400"/>
        <w:rPr>
          <w:rFonts w:ascii="宋体" w:hAnsi="宋体"/>
          <w:b/>
          <w:bCs/>
          <w:sz w:val="24"/>
          <w:szCs w:val="24"/>
        </w:rPr>
      </w:pPr>
    </w:p>
    <w:p>
      <w:pPr>
        <w:ind w:firstLine="964" w:firstLineChars="400"/>
        <w:rPr>
          <w:rFonts w:ascii="宋体" w:hAnsi="宋体"/>
          <w:b/>
          <w:bCs/>
          <w:sz w:val="24"/>
          <w:szCs w:val="24"/>
        </w:rPr>
      </w:pPr>
    </w:p>
    <w:p>
      <w:pPr>
        <w:jc w:val="center"/>
        <w:rPr>
          <w:rFonts w:ascii="宋体" w:hAnsi="宋体"/>
          <w:sz w:val="24"/>
          <w:szCs w:val="24"/>
        </w:rPr>
      </w:pPr>
      <w:r>
        <w:rPr>
          <w:rFonts w:hint="eastAsia" w:ascii="宋体" w:hAnsi="宋体" w:cs="宋体"/>
          <w:sz w:val="24"/>
          <w:szCs w:val="24"/>
        </w:rPr>
        <w:t xml:space="preserve">        </w:t>
      </w:r>
      <w:r>
        <w:rPr>
          <w:rFonts w:hint="eastAsia" w:ascii="宋体" w:hAnsi="宋体"/>
          <w:sz w:val="24"/>
          <w:szCs w:val="24"/>
        </w:rPr>
        <w:drawing>
          <wp:inline distT="0" distB="0" distL="114300" distR="114300">
            <wp:extent cx="1932940" cy="1932940"/>
            <wp:effectExtent l="0" t="0" r="10160" b="10160"/>
            <wp:docPr id="1" name="图片 1" descr="a6339e5ffe5e25a154dd1ca6eeba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39e5ffe5e25a154dd1ca6eeba786"/>
                    <pic:cNvPicPr>
                      <a:picLocks noChangeAspect="1"/>
                    </pic:cNvPicPr>
                  </pic:nvPicPr>
                  <pic:blipFill>
                    <a:blip r:embed="rId7" cstate="print"/>
                    <a:stretch>
                      <a:fillRect/>
                    </a:stretch>
                  </pic:blipFill>
                  <pic:spPr>
                    <a:xfrm>
                      <a:off x="0" y="0"/>
                      <a:ext cx="1932940" cy="1932940"/>
                    </a:xfrm>
                    <a:prstGeom prst="rect">
                      <a:avLst/>
                    </a:prstGeom>
                  </pic:spPr>
                </pic:pic>
              </a:graphicData>
            </a:graphic>
          </wp:inline>
        </w:drawing>
      </w:r>
      <w:r>
        <w:rPr>
          <w:rFonts w:hint="eastAsia" w:ascii="宋体" w:hAnsi="宋体" w:cs="宋体"/>
          <w:sz w:val="24"/>
          <w:szCs w:val="24"/>
        </w:rPr>
        <w:t xml:space="preserve">           </w:t>
      </w:r>
      <w:r>
        <w:rPr>
          <w:rFonts w:hint="eastAsia" w:ascii="宋体" w:hAnsi="宋体"/>
          <w:sz w:val="24"/>
          <w:szCs w:val="24"/>
        </w:rPr>
        <w:drawing>
          <wp:inline distT="0" distB="0" distL="114300" distR="114300">
            <wp:extent cx="1849120" cy="1849120"/>
            <wp:effectExtent l="0" t="0" r="17780" b="17780"/>
            <wp:docPr id="4" name="图片 5" descr="a2171d611d9e3ed7217e1ad35ee3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a2171d611d9e3ed7217e1ad35ee3e02"/>
                    <pic:cNvPicPr>
                      <a:picLocks noChangeAspect="1"/>
                    </pic:cNvPicPr>
                  </pic:nvPicPr>
                  <pic:blipFill>
                    <a:blip r:embed="rId8" cstate="print"/>
                    <a:stretch>
                      <a:fillRect/>
                    </a:stretch>
                  </pic:blipFill>
                  <pic:spPr>
                    <a:xfrm>
                      <a:off x="0" y="0"/>
                      <a:ext cx="1849120" cy="1849120"/>
                    </a:xfrm>
                    <a:prstGeom prst="rect">
                      <a:avLst/>
                    </a:prstGeom>
                    <a:noFill/>
                    <a:ln>
                      <a:noFill/>
                    </a:ln>
                  </pic:spPr>
                </pic:pic>
              </a:graphicData>
            </a:graphic>
          </wp:inline>
        </w:drawing>
      </w:r>
      <w:r>
        <w:rPr>
          <w:rFonts w:hint="eastAsia" w:ascii="宋体" w:hAnsi="宋体" w:cs="宋体"/>
          <w:sz w:val="24"/>
          <w:szCs w:val="24"/>
        </w:rPr>
        <w:t xml:space="preserve">            </w:t>
      </w:r>
    </w:p>
    <w:p>
      <w:pPr>
        <w:ind w:firstLine="723" w:firstLineChars="300"/>
        <w:rPr>
          <w:rFonts w:ascii="仿宋_GB2312" w:eastAsia="仿宋_GB2312"/>
          <w:sz w:val="32"/>
          <w:szCs w:val="32"/>
        </w:rPr>
      </w:pPr>
      <w:r>
        <w:rPr>
          <w:rFonts w:hint="eastAsia" w:ascii="宋体" w:hAnsi="宋体" w:cs="宋体"/>
          <w:b/>
          <w:bCs/>
          <w:sz w:val="24"/>
          <w:szCs w:val="24"/>
        </w:rPr>
        <w:t xml:space="preserve">（关注“学习大国”微信公众号）        （领导留言板下载二维码）    </w:t>
      </w:r>
    </w:p>
    <w:p>
      <w:pPr>
        <w:spacing w:line="360" w:lineRule="auto"/>
        <w:rPr>
          <w:sz w:val="28"/>
          <w:szCs w:val="28"/>
        </w:rPr>
      </w:pPr>
      <w:r>
        <w:rPr>
          <w:rFonts w:hint="eastAsia"/>
          <w:sz w:val="28"/>
          <w:szCs w:val="28"/>
        </w:rPr>
        <w:t>附件二：学习报告主要内容</w:t>
      </w:r>
    </w:p>
    <w:p>
      <w:pPr>
        <w:spacing w:line="360" w:lineRule="auto"/>
        <w:rPr>
          <w:sz w:val="28"/>
          <w:szCs w:val="28"/>
        </w:rPr>
      </w:pPr>
    </w:p>
    <w:p>
      <w:pPr>
        <w:spacing w:line="360" w:lineRule="auto"/>
        <w:jc w:val="center"/>
        <w:rPr>
          <w:b/>
          <w:sz w:val="32"/>
          <w:szCs w:val="32"/>
        </w:rPr>
      </w:pPr>
      <w:r>
        <w:rPr>
          <w:rFonts w:hint="eastAsia"/>
          <w:b/>
          <w:sz w:val="32"/>
          <w:szCs w:val="32"/>
        </w:rPr>
        <w:t>各学院（部）“思政大课”学习情况汇总表</w:t>
      </w:r>
    </w:p>
    <w:p>
      <w:pPr>
        <w:spacing w:line="360" w:lineRule="auto"/>
        <w:rPr>
          <w:sz w:val="28"/>
          <w:szCs w:val="28"/>
        </w:rPr>
      </w:pPr>
    </w:p>
    <w:p>
      <w:pPr>
        <w:spacing w:line="360" w:lineRule="auto"/>
        <w:rPr>
          <w:sz w:val="28"/>
          <w:szCs w:val="28"/>
        </w:rPr>
      </w:pPr>
      <w:r>
        <w:rPr>
          <w:rFonts w:hint="eastAsia"/>
          <w:sz w:val="28"/>
          <w:szCs w:val="28"/>
        </w:rPr>
        <w:t>学院（部）：              牵头领导：</w:t>
      </w:r>
    </w:p>
    <w:p>
      <w:pPr>
        <w:spacing w:line="360" w:lineRule="auto"/>
        <w:rPr>
          <w:sz w:val="28"/>
          <w:szCs w:val="28"/>
        </w:rPr>
      </w:pPr>
      <w:r>
        <w:rPr>
          <w:rFonts w:hint="eastAsia"/>
          <w:sz w:val="28"/>
          <w:szCs w:val="28"/>
        </w:rPr>
        <w:t>学院（部）本科生总数：</w:t>
      </w:r>
    </w:p>
    <w:p>
      <w:pPr>
        <w:spacing w:line="360" w:lineRule="auto"/>
        <w:rPr>
          <w:sz w:val="28"/>
          <w:szCs w:val="28"/>
        </w:rPr>
      </w:pPr>
      <w:r>
        <w:rPr>
          <w:rFonts w:hint="eastAsia"/>
          <w:sz w:val="28"/>
          <w:szCs w:val="28"/>
        </w:rPr>
        <w:t>学院（部）全日制硕士研究生总数：</w:t>
      </w:r>
    </w:p>
    <w:p>
      <w:pPr>
        <w:spacing w:line="360" w:lineRule="auto"/>
        <w:rPr>
          <w:sz w:val="28"/>
          <w:szCs w:val="28"/>
        </w:rPr>
      </w:pPr>
      <w:r>
        <w:rPr>
          <w:rFonts w:hint="eastAsia"/>
          <w:sz w:val="28"/>
          <w:szCs w:val="28"/>
        </w:rPr>
        <w:t>学院（部）全日制博士研究生总数：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310"/>
        <w:gridCol w:w="1134"/>
        <w:gridCol w:w="1276"/>
        <w:gridCol w:w="1276"/>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p>
        </w:tc>
        <w:tc>
          <w:tcPr>
            <w:tcW w:w="1310" w:type="dxa"/>
          </w:tcPr>
          <w:p>
            <w:pPr>
              <w:spacing w:line="360" w:lineRule="auto"/>
              <w:rPr>
                <w:sz w:val="28"/>
                <w:szCs w:val="28"/>
              </w:rPr>
            </w:pPr>
            <w:r>
              <w:rPr>
                <w:rFonts w:hint="eastAsia"/>
                <w:sz w:val="28"/>
                <w:szCs w:val="28"/>
              </w:rPr>
              <w:t>有思政课参加直播学生人数</w:t>
            </w:r>
          </w:p>
        </w:tc>
        <w:tc>
          <w:tcPr>
            <w:tcW w:w="1134" w:type="dxa"/>
          </w:tcPr>
          <w:p>
            <w:pPr>
              <w:spacing w:line="360" w:lineRule="auto"/>
              <w:rPr>
                <w:sz w:val="28"/>
                <w:szCs w:val="28"/>
              </w:rPr>
            </w:pPr>
            <w:r>
              <w:rPr>
                <w:rFonts w:hint="eastAsia"/>
                <w:sz w:val="28"/>
                <w:szCs w:val="28"/>
              </w:rPr>
              <w:t>无思政课参加直播学生人数</w:t>
            </w:r>
          </w:p>
        </w:tc>
        <w:tc>
          <w:tcPr>
            <w:tcW w:w="1276" w:type="dxa"/>
          </w:tcPr>
          <w:p>
            <w:pPr>
              <w:spacing w:line="360" w:lineRule="auto"/>
              <w:rPr>
                <w:sz w:val="28"/>
                <w:szCs w:val="28"/>
              </w:rPr>
            </w:pPr>
            <w:r>
              <w:rPr>
                <w:rFonts w:hint="eastAsia"/>
                <w:sz w:val="28"/>
                <w:szCs w:val="28"/>
              </w:rPr>
              <w:t>有其他课程参加回放人数</w:t>
            </w:r>
          </w:p>
        </w:tc>
        <w:tc>
          <w:tcPr>
            <w:tcW w:w="1276" w:type="dxa"/>
          </w:tcPr>
          <w:p>
            <w:pPr>
              <w:spacing w:line="360" w:lineRule="auto"/>
              <w:rPr>
                <w:sz w:val="28"/>
                <w:szCs w:val="28"/>
              </w:rPr>
            </w:pPr>
            <w:r>
              <w:rPr>
                <w:rFonts w:hint="eastAsia"/>
                <w:sz w:val="28"/>
                <w:szCs w:val="28"/>
              </w:rPr>
              <w:t>学生提交心得体会人数</w:t>
            </w:r>
          </w:p>
        </w:tc>
        <w:tc>
          <w:tcPr>
            <w:tcW w:w="2466" w:type="dxa"/>
          </w:tcPr>
          <w:p>
            <w:pPr>
              <w:spacing w:line="360" w:lineRule="auto"/>
              <w:rPr>
                <w:sz w:val="28"/>
                <w:szCs w:val="28"/>
              </w:rPr>
            </w:pPr>
            <w:r>
              <w:rPr>
                <w:rFonts w:hint="eastAsia"/>
                <w:sz w:val="28"/>
                <w:szCs w:val="28"/>
              </w:rPr>
              <w:t>学生心得体会主要观点梳理（300-500字，可另附页）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r>
              <w:rPr>
                <w:rFonts w:hint="eastAsia"/>
                <w:sz w:val="28"/>
                <w:szCs w:val="28"/>
              </w:rPr>
              <w:t>大一</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restart"/>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r>
              <w:rPr>
                <w:rFonts w:hint="eastAsia"/>
                <w:sz w:val="28"/>
                <w:szCs w:val="28"/>
              </w:rPr>
              <w:t>大二</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r>
              <w:rPr>
                <w:rFonts w:hint="eastAsia"/>
                <w:sz w:val="28"/>
                <w:szCs w:val="28"/>
              </w:rPr>
              <w:t>大三</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r>
              <w:rPr>
                <w:rFonts w:hint="eastAsia"/>
                <w:sz w:val="28"/>
                <w:szCs w:val="28"/>
              </w:rPr>
              <w:t>大四</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硕一</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硕二</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硕三</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博一</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博二</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博三</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bl>
    <w:p>
      <w:pPr>
        <w:spacing w:line="360" w:lineRule="auto"/>
        <w:rPr>
          <w:b/>
          <w:sz w:val="32"/>
          <w:szCs w:val="32"/>
        </w:rPr>
      </w:pPr>
    </w:p>
    <w:p>
      <w:pPr>
        <w:spacing w:line="360" w:lineRule="auto"/>
        <w:jc w:val="center"/>
        <w:rPr>
          <w:b/>
          <w:sz w:val="32"/>
          <w:szCs w:val="32"/>
        </w:rPr>
      </w:pPr>
      <w:r>
        <w:rPr>
          <w:rFonts w:hint="eastAsia"/>
          <w:b/>
          <w:sz w:val="32"/>
          <w:szCs w:val="32"/>
        </w:rPr>
        <w:t>思政课教师组织“思政大课”学习情况汇总表</w:t>
      </w:r>
    </w:p>
    <w:p>
      <w:pPr>
        <w:spacing w:line="360" w:lineRule="auto"/>
        <w:rPr>
          <w:b/>
          <w:sz w:val="32"/>
          <w:szCs w:val="32"/>
        </w:rPr>
      </w:pPr>
    </w:p>
    <w:p>
      <w:pPr>
        <w:spacing w:line="360" w:lineRule="auto"/>
        <w:rPr>
          <w:sz w:val="32"/>
          <w:szCs w:val="32"/>
        </w:rPr>
      </w:pPr>
      <w:r>
        <w:rPr>
          <w:rFonts w:hint="eastAsia"/>
          <w:sz w:val="32"/>
          <w:szCs w:val="32"/>
        </w:rPr>
        <w:t>任课教师：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310"/>
        <w:gridCol w:w="1134"/>
        <w:gridCol w:w="1276"/>
        <w:gridCol w:w="1276"/>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p>
        </w:tc>
        <w:tc>
          <w:tcPr>
            <w:tcW w:w="1310" w:type="dxa"/>
          </w:tcPr>
          <w:p>
            <w:pPr>
              <w:spacing w:line="360" w:lineRule="auto"/>
              <w:rPr>
                <w:sz w:val="28"/>
                <w:szCs w:val="28"/>
              </w:rPr>
            </w:pPr>
            <w:r>
              <w:rPr>
                <w:rFonts w:hint="eastAsia"/>
                <w:sz w:val="28"/>
                <w:szCs w:val="28"/>
              </w:rPr>
              <w:t>原思政课程名称</w:t>
            </w:r>
          </w:p>
        </w:tc>
        <w:tc>
          <w:tcPr>
            <w:tcW w:w="1134" w:type="dxa"/>
          </w:tcPr>
          <w:p>
            <w:pPr>
              <w:spacing w:line="360" w:lineRule="auto"/>
              <w:rPr>
                <w:sz w:val="28"/>
                <w:szCs w:val="28"/>
              </w:rPr>
            </w:pPr>
            <w:r>
              <w:rPr>
                <w:rFonts w:hint="eastAsia"/>
                <w:sz w:val="28"/>
                <w:szCs w:val="28"/>
              </w:rPr>
              <w:t>学生所在学院</w:t>
            </w:r>
          </w:p>
        </w:tc>
        <w:tc>
          <w:tcPr>
            <w:tcW w:w="1276" w:type="dxa"/>
          </w:tcPr>
          <w:p>
            <w:pPr>
              <w:spacing w:line="360" w:lineRule="auto"/>
              <w:rPr>
                <w:sz w:val="28"/>
                <w:szCs w:val="28"/>
              </w:rPr>
            </w:pPr>
            <w:r>
              <w:rPr>
                <w:rFonts w:hint="eastAsia"/>
                <w:sz w:val="28"/>
                <w:szCs w:val="28"/>
              </w:rPr>
              <w:t>学生应参加人数</w:t>
            </w:r>
          </w:p>
        </w:tc>
        <w:tc>
          <w:tcPr>
            <w:tcW w:w="1276" w:type="dxa"/>
          </w:tcPr>
          <w:p>
            <w:pPr>
              <w:spacing w:line="360" w:lineRule="auto"/>
              <w:rPr>
                <w:sz w:val="28"/>
                <w:szCs w:val="28"/>
              </w:rPr>
            </w:pPr>
            <w:r>
              <w:rPr>
                <w:rFonts w:hint="eastAsia"/>
                <w:sz w:val="28"/>
                <w:szCs w:val="28"/>
              </w:rPr>
              <w:t>学生实际参加人数</w:t>
            </w:r>
          </w:p>
        </w:tc>
        <w:tc>
          <w:tcPr>
            <w:tcW w:w="2466" w:type="dxa"/>
          </w:tcPr>
          <w:p>
            <w:pPr>
              <w:spacing w:line="360" w:lineRule="auto"/>
              <w:rPr>
                <w:sz w:val="28"/>
                <w:szCs w:val="28"/>
              </w:rPr>
            </w:pPr>
            <w:r>
              <w:rPr>
                <w:rFonts w:hint="eastAsia"/>
                <w:sz w:val="28"/>
                <w:szCs w:val="28"/>
              </w:rPr>
              <w:t>学生心得体会主要观点梳理（</w:t>
            </w:r>
            <w:r>
              <w:rPr>
                <w:sz w:val="28"/>
                <w:szCs w:val="28"/>
              </w:rPr>
              <w:t>3</w:t>
            </w:r>
            <w:r>
              <w:rPr>
                <w:rFonts w:hint="eastAsia"/>
                <w:sz w:val="28"/>
                <w:szCs w:val="28"/>
              </w:rPr>
              <w:t>00-</w:t>
            </w:r>
            <w:r>
              <w:rPr>
                <w:sz w:val="28"/>
                <w:szCs w:val="28"/>
              </w:rPr>
              <w:t>5</w:t>
            </w:r>
            <w:r>
              <w:rPr>
                <w:rFonts w:hint="eastAsia"/>
                <w:sz w:val="28"/>
                <w:szCs w:val="28"/>
              </w:rPr>
              <w:t>00字，可另附页）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r>
              <w:rPr>
                <w:rFonts w:hint="eastAsia"/>
                <w:sz w:val="28"/>
                <w:szCs w:val="28"/>
              </w:rPr>
              <w:t>大一</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restart"/>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r>
              <w:rPr>
                <w:rFonts w:hint="eastAsia"/>
                <w:sz w:val="28"/>
                <w:szCs w:val="28"/>
              </w:rPr>
              <w:t>大二</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r>
              <w:rPr>
                <w:rFonts w:hint="eastAsia"/>
                <w:sz w:val="28"/>
                <w:szCs w:val="28"/>
              </w:rPr>
              <w:t>大三</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r>
              <w:rPr>
                <w:rFonts w:hint="eastAsia"/>
                <w:sz w:val="28"/>
                <w:szCs w:val="28"/>
              </w:rPr>
              <w:t>大四</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line="360" w:lineRule="auto"/>
              <w:rPr>
                <w:sz w:val="28"/>
                <w:szCs w:val="28"/>
              </w:rPr>
            </w:pPr>
            <w:r>
              <w:rPr>
                <w:rFonts w:hint="eastAsia"/>
                <w:sz w:val="28"/>
                <w:szCs w:val="28"/>
              </w:rPr>
              <w:t>硕一</w:t>
            </w:r>
          </w:p>
        </w:tc>
        <w:tc>
          <w:tcPr>
            <w:tcW w:w="1310" w:type="dxa"/>
          </w:tcPr>
          <w:p>
            <w:pPr>
              <w:spacing w:line="360" w:lineRule="auto"/>
              <w:rPr>
                <w:sz w:val="28"/>
                <w:szCs w:val="28"/>
              </w:rPr>
            </w:pPr>
          </w:p>
        </w:tc>
        <w:tc>
          <w:tcPr>
            <w:tcW w:w="1134" w:type="dxa"/>
          </w:tcPr>
          <w:p>
            <w:pPr>
              <w:spacing w:line="360" w:lineRule="auto"/>
              <w:rPr>
                <w:sz w:val="28"/>
                <w:szCs w:val="28"/>
              </w:rPr>
            </w:pPr>
          </w:p>
        </w:tc>
        <w:tc>
          <w:tcPr>
            <w:tcW w:w="1276" w:type="dxa"/>
          </w:tcPr>
          <w:p>
            <w:pPr>
              <w:spacing w:line="360" w:lineRule="auto"/>
              <w:rPr>
                <w:sz w:val="28"/>
                <w:szCs w:val="28"/>
              </w:rPr>
            </w:pPr>
          </w:p>
        </w:tc>
        <w:tc>
          <w:tcPr>
            <w:tcW w:w="1276" w:type="dxa"/>
          </w:tcPr>
          <w:p>
            <w:pPr>
              <w:spacing w:line="360" w:lineRule="auto"/>
              <w:rPr>
                <w:sz w:val="28"/>
                <w:szCs w:val="28"/>
              </w:rPr>
            </w:pPr>
          </w:p>
        </w:tc>
        <w:tc>
          <w:tcPr>
            <w:tcW w:w="2466" w:type="dxa"/>
            <w:vMerge w:val="continue"/>
          </w:tcPr>
          <w:p>
            <w:pPr>
              <w:spacing w:line="360" w:lineRule="auto"/>
              <w:rPr>
                <w:sz w:val="28"/>
                <w:szCs w:val="28"/>
              </w:rPr>
            </w:pPr>
          </w:p>
        </w:tc>
      </w:tr>
    </w:tbl>
    <w:p>
      <w:pPr>
        <w:spacing w:line="360" w:lineRule="auto"/>
        <w:rPr>
          <w:b/>
          <w:sz w:val="32"/>
          <w:szCs w:val="32"/>
        </w:rPr>
      </w:pP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693E36"/>
    <w:multiLevelType w:val="singleLevel"/>
    <w:tmpl w:val="CC693E36"/>
    <w:lvl w:ilvl="0" w:tentative="0">
      <w:start w:val="1"/>
      <w:numFmt w:val="chineseCounting"/>
      <w:suff w:val="nothing"/>
      <w:lvlText w:val="%1、"/>
      <w:lvlJc w:val="left"/>
      <w:rPr>
        <w:rFonts w:hint="eastAsia"/>
      </w:rPr>
    </w:lvl>
  </w:abstractNum>
  <w:abstractNum w:abstractNumId="1">
    <w:nsid w:val="F2C039DB"/>
    <w:multiLevelType w:val="singleLevel"/>
    <w:tmpl w:val="F2C039D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12"/>
    <w:rsid w:val="000676B5"/>
    <w:rsid w:val="0007275A"/>
    <w:rsid w:val="000D503B"/>
    <w:rsid w:val="000F0446"/>
    <w:rsid w:val="00111BC9"/>
    <w:rsid w:val="00123112"/>
    <w:rsid w:val="00196FCA"/>
    <w:rsid w:val="001B23DB"/>
    <w:rsid w:val="001B509B"/>
    <w:rsid w:val="002032D9"/>
    <w:rsid w:val="00211CF7"/>
    <w:rsid w:val="002B6203"/>
    <w:rsid w:val="00333E1B"/>
    <w:rsid w:val="00342760"/>
    <w:rsid w:val="0039017B"/>
    <w:rsid w:val="003C33CF"/>
    <w:rsid w:val="004166C9"/>
    <w:rsid w:val="0043401A"/>
    <w:rsid w:val="00441A70"/>
    <w:rsid w:val="00450FC1"/>
    <w:rsid w:val="00462E6E"/>
    <w:rsid w:val="00474215"/>
    <w:rsid w:val="00484D9C"/>
    <w:rsid w:val="004B44E8"/>
    <w:rsid w:val="00543E3B"/>
    <w:rsid w:val="006A39B6"/>
    <w:rsid w:val="007129D1"/>
    <w:rsid w:val="0071399F"/>
    <w:rsid w:val="00875E35"/>
    <w:rsid w:val="00887302"/>
    <w:rsid w:val="00947471"/>
    <w:rsid w:val="009C2C20"/>
    <w:rsid w:val="009E5170"/>
    <w:rsid w:val="00A73782"/>
    <w:rsid w:val="00B74D93"/>
    <w:rsid w:val="00BD5AB6"/>
    <w:rsid w:val="00C938A6"/>
    <w:rsid w:val="00E30ABD"/>
    <w:rsid w:val="00F20B3F"/>
    <w:rsid w:val="00F53CE7"/>
    <w:rsid w:val="00FA1C8A"/>
    <w:rsid w:val="046E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semiHidden/>
    <w:uiPriority w:val="99"/>
  </w:style>
  <w:style w:type="character" w:customStyle="1" w:styleId="10">
    <w:name w:val="批注框文本 Char"/>
    <w:basedOn w:val="8"/>
    <w:link w:val="3"/>
    <w:semiHidden/>
    <w:uiPriority w:val="99"/>
    <w:rPr>
      <w:sz w:val="18"/>
      <w:szCs w:val="18"/>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2A8AD-6F7C-459D-BFB9-C802540033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434</Words>
  <Characters>2477</Characters>
  <Lines>20</Lines>
  <Paragraphs>5</Paragraphs>
  <TotalTime>1</TotalTime>
  <ScaleCrop>false</ScaleCrop>
  <LinksUpToDate>false</LinksUpToDate>
  <CharactersWithSpaces>2906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2020-03-07T12:57:00Z</dcterms:created>
  <dc:creator>杨挺</dc:creator>
  <cp:lastModifiedBy>叉叉</cp:lastModifiedBy>
  <dcterms:modified xsi:type="dcterms:W3CDTF">2020-03-11T00:42:24Z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